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СИЛЛАБУС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Весенний семестр 2025-2026 учебного года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Образовательная программа 6В12301 – «Правоохранительная деятельность»,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6B04205 «Юриспруденция»</w:t>
      </w:r>
    </w:p>
    <w:tbl>
      <w:tblPr>
        <w:tblStyle w:val="Table1"/>
        <w:tblW w:w="10773.0" w:type="dxa"/>
        <w:jc w:val="left"/>
        <w:tblInd w:w="-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701"/>
        <w:gridCol w:w="1280"/>
        <w:gridCol w:w="886"/>
        <w:gridCol w:w="953"/>
        <w:gridCol w:w="941"/>
        <w:gridCol w:w="632"/>
        <w:gridCol w:w="1263"/>
        <w:gridCol w:w="3117"/>
        <w:tblGridChange w:id="0">
          <w:tblGrid>
            <w:gridCol w:w="1701"/>
            <w:gridCol w:w="1280"/>
            <w:gridCol w:w="886"/>
            <w:gridCol w:w="953"/>
            <w:gridCol w:w="941"/>
            <w:gridCol w:w="632"/>
            <w:gridCol w:w="1263"/>
            <w:gridCol w:w="3117"/>
          </w:tblGrid>
        </w:tblGridChange>
      </w:tblGrid>
      <w:tr>
        <w:trPr>
          <w:cantSplit w:val="0"/>
          <w:trHeight w:val="24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ID и наименование дисциплины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6">
            <w:pPr>
              <w:rPr>
                <w:b w:val="1"/>
                <w:color w:val="ff0000"/>
                <w:sz w:val="22"/>
                <w:szCs w:val="22"/>
                <w:u w:val="none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Самостоятельная работа студента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(СРС)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Кол-во кредитов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C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Общее</w:t>
            </w:r>
          </w:p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кол-во кредитов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Самостоятельная работа студента под руководством преподавателя (СРСП)</w:t>
            </w:r>
            <w:r w:rsidDel="00000000" w:rsidR="00000000" w:rsidRPr="00000000">
              <w:rPr>
                <w:i w:val="1"/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Лекции (Л)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Практ. занятия (ПЗ)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Лаб. занятия (ЛЗ)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84331</w:t>
            </w:r>
          </w:p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Правовые основы противодействия коррупции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B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1,70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C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E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1F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АКАДЕМИЧЕСКАЯ ИНФОРМАЦИЯ О ДИСЦИПЛИНЕ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Формат обучения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9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Цикл, </w:t>
            </w:r>
          </w:p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компонент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Типы лекций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Типы практических занятий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F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Форма и платформа</w:t>
            </w:r>
          </w:p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итогового контроля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Офлайн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ОКпВ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Интерактивная лекция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Семинар-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дискуссия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Система Univer, тест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Лектор - (ы)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Абдрахманов Данияр Саттарович, 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старший преподаватель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jc w:val="both"/>
              <w:rPr>
                <w:sz w:val="22"/>
                <w:szCs w:val="22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rtl w:val="0"/>
                </w:rPr>
                <w:t xml:space="preserve">d</w:t>
              </w:r>
            </w:hyperlink>
            <w:hyperlink r:id="rId8">
              <w:r w:rsidDel="00000000" w:rsidR="00000000" w:rsidRPr="00000000">
                <w:rPr>
                  <w:color w:val="0000ff"/>
                  <w:sz w:val="22"/>
                  <w:szCs w:val="22"/>
                  <w:u w:val="single"/>
                  <w:rtl w:val="0"/>
                </w:rPr>
                <w:t xml:space="preserve">aniyar.abdrahmanov@gmail.com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Телефон: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87011002284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Ассистент- (ы)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Әлімғазы Гүлмарал Серікқызы 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Телефон: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+7 707 589 8997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АКАДЕМИЧЕСКАЯ ПРЕЗЕНТАЦИЯ ДИСЦИПЛИНЫ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Цель дисциплины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6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Ожидаемые результаты обучения (РО)*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highlight w:val="white"/>
                <w:rtl w:val="0"/>
              </w:rPr>
              <w:t xml:space="preserve">Индикаторы достижения РО (ИД) </w:t>
            </w: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Цель курса: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Сформировать способность анализировать деятельность органов государственной власти, политических и общественных организаций в сфере противодействия коррупции. Дать объективные знания о проблемах коррупции в современном обществе. Показать роль ИИ в выявлении, предупреждении и анализе коррупционных рисков. Объяснить основные положения антикоррупционного законодательства. Обучить навыкам преодоления коррупции с учётом современных цифровых технологий и аналитических инструментов ИИ.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РО1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Понимать что такое коррупция и представлять ее негативные последствия.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ИД 1.1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Понимание сущности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коррупции.</w:t>
            </w:r>
          </w:p>
        </w:tc>
      </w:tr>
      <w:tr>
        <w:trPr>
          <w:cantSplit w:val="0"/>
          <w:trHeight w:val="94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ИД 1.2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Представление   негативных последствий коррупции.</w:t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РО2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Иметь представление об основных коррупционных правонарушениях и виды ответственности за их совершение.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8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ИД 2.1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Знание</w:t>
              <w:tab/>
              <w:t xml:space="preserve">коррупционных</w:t>
            </w:r>
          </w:p>
          <w:p w:rsidR="00000000" w:rsidDel="00000000" w:rsidP="00000000" w:rsidRDefault="00000000" w:rsidRPr="00000000" w14:paraId="0000008E">
            <w:pPr>
              <w:widowControl w:val="0"/>
              <w:tabs>
                <w:tab w:val="left" w:leader="none" w:pos="1448"/>
                <w:tab w:val="left" w:leader="none" w:pos="3324"/>
              </w:tabs>
              <w:ind w:left="110" w:right="104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уголовных</w:t>
              <w:tab/>
              <w:t xml:space="preserve">правонарушений</w:t>
              <w:tab/>
              <w:t xml:space="preserve">и санкции за их совершение.</w:t>
            </w:r>
          </w:p>
        </w:tc>
      </w:tr>
      <w:tr>
        <w:trPr>
          <w:cantSplit w:val="0"/>
          <w:trHeight w:val="8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ИД 2.2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Разграничение 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коррупционные уголовные от</w:t>
            </w:r>
          </w:p>
          <w:p w:rsidR="00000000" w:rsidDel="00000000" w:rsidP="00000000" w:rsidRDefault="00000000" w:rsidRPr="00000000" w14:paraId="0000009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коррупционных административных правонарушений.</w:t>
            </w:r>
          </w:p>
        </w:tc>
      </w:tr>
      <w:tr>
        <w:trPr>
          <w:cantSplit w:val="0"/>
          <w:trHeight w:val="4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9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РО3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Ориентироваться</w:t>
              <w:tab/>
              <w:t xml:space="preserve">в основных мерах противодействия коррупции.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ИД 3.1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Классификация</w:t>
              <w:tab/>
              <w:t xml:space="preserve">мер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противодействия коррупции.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ИД 3.2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Ориентирование в</w:t>
            </w:r>
          </w:p>
          <w:p w:rsidR="00000000" w:rsidDel="00000000" w:rsidP="00000000" w:rsidRDefault="00000000" w:rsidRPr="00000000" w14:paraId="000000A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нормативных правовых актах, касающихся</w:t>
              <w:tab/>
              <w:t xml:space="preserve">вопросов </w:t>
            </w:r>
          </w:p>
          <w:p w:rsidR="00000000" w:rsidDel="00000000" w:rsidP="00000000" w:rsidRDefault="00000000" w:rsidRPr="00000000" w14:paraId="000000A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противодействия коррупции.</w:t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A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РО4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Анализировать основные причины совершения коррупции в Казахстане.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ИД 4.1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Определение основных причин совершения коррупции в Казахстане.</w:t>
            </w:r>
          </w:p>
        </w:tc>
      </w:tr>
      <w:tr>
        <w:trPr>
          <w:cantSplit w:val="0"/>
          <w:trHeight w:val="66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ИД 4.2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Предложение</w:t>
              <w:tab/>
              <w:t xml:space="preserve">мер</w:t>
              <w:tab/>
              <w:t xml:space="preserve">по  </w:t>
            </w:r>
          </w:p>
          <w:p w:rsidR="00000000" w:rsidDel="00000000" w:rsidP="00000000" w:rsidRDefault="00000000" w:rsidRPr="00000000" w14:paraId="000000B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противодействию коррупции.</w:t>
            </w:r>
          </w:p>
        </w:tc>
      </w:tr>
      <w:tr>
        <w:trPr>
          <w:cantSplit w:val="0"/>
          <w:trHeight w:val="90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B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РО5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Знать международный опыт противодействия коррупции.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ИД 5.1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Иметь</w:t>
              <w:tab/>
              <w:t xml:space="preserve">представление</w:t>
              <w:tab/>
              <w:t xml:space="preserve">о деятельности международных организаций и их роли в борьбе с коррупцией.</w:t>
            </w:r>
          </w:p>
        </w:tc>
      </w:tr>
      <w:tr>
        <w:trPr>
          <w:cantSplit w:val="0"/>
          <w:trHeight w:val="23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C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ИД 5.2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Анализировать национальное законодательство</w:t>
              <w:tab/>
              <w:t xml:space="preserve">с</w:t>
              <w:tab/>
              <w:t xml:space="preserve">зарубежным законодательством</w:t>
              <w:tab/>
              <w:t xml:space="preserve">по</w:t>
            </w:r>
          </w:p>
          <w:p w:rsidR="00000000" w:rsidDel="00000000" w:rsidP="00000000" w:rsidRDefault="00000000" w:rsidRPr="00000000" w14:paraId="000000C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вопросам противодействия  </w:t>
            </w:r>
          </w:p>
          <w:p w:rsidR="00000000" w:rsidDel="00000000" w:rsidP="00000000" w:rsidRDefault="00000000" w:rsidRPr="00000000" w14:paraId="000000C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коррупции.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Пререквизиты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89749 Уголовное право РК (общая часть),  89902 Уголовное право (особенная часть), 27582 Криминология, 2774 Административное право.</w:t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Постреквизиты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D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2774 Административное право, 86412 Квалификация уголовных правонарушений против личности,  99794 информационное право и цифровизация, 65209  Прокурорский надзор, 25556 Адвокатура и адвокатская  деятельность.</w:t>
            </w:r>
          </w:p>
        </w:tc>
      </w:tr>
      <w:tr>
        <w:trPr>
          <w:cantSplit w:val="0"/>
          <w:trHeight w:val="52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Учебные ресурсы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E1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Основная литература:</w:t>
            </w:r>
          </w:p>
          <w:p w:rsidR="00000000" w:rsidDel="00000000" w:rsidP="00000000" w:rsidRDefault="00000000" w:rsidRPr="00000000" w14:paraId="000000E2">
            <w:pPr>
              <w:widowControl w:val="0"/>
              <w:numPr>
                <w:ilvl w:val="0"/>
                <w:numId w:val="1"/>
              </w:numPr>
              <w:spacing w:before="20" w:line="254" w:lineRule="auto"/>
              <w:ind w:left="333" w:right="94" w:hanging="219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Уголовный кодекс Республики Казахстан. - Астана : Парламент РК, 2014. - Nº 226-V ЗРК (с изменениями и дополнениями по состоянию на 2025 г.)</w:t>
            </w:r>
          </w:p>
          <w:p w:rsidR="00000000" w:rsidDel="00000000" w:rsidP="00000000" w:rsidRDefault="00000000" w:rsidRPr="00000000" w14:paraId="000000E3">
            <w:pPr>
              <w:widowControl w:val="0"/>
              <w:numPr>
                <w:ilvl w:val="0"/>
                <w:numId w:val="1"/>
              </w:numPr>
              <w:spacing w:before="2" w:line="254" w:lineRule="auto"/>
              <w:ind w:left="333" w:right="98" w:hanging="219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«Антикоррупционная политика Казахстана: информационный список литературы» (сборник)/ І Казахская Республика, НИИ государства и права им. Г. Сапаргалиева. Комментарий к Закону</w:t>
            </w:r>
          </w:p>
          <w:p w:rsidR="00000000" w:rsidDel="00000000" w:rsidP="00000000" w:rsidRDefault="00000000" w:rsidRPr="00000000" w14:paraId="000000E4">
            <w:pPr>
              <w:widowControl w:val="0"/>
              <w:numPr>
                <w:ilvl w:val="0"/>
                <w:numId w:val="1"/>
              </w:numPr>
              <w:spacing w:before="2" w:line="254" w:lineRule="auto"/>
              <w:ind w:left="333" w:right="98" w:hanging="219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Республики Казахстан «О борьбе с коррупцией» / [комментарий] / НИИ государства и права им Г Сапаргалиева Казахстанский союз юпистов — Астана • АФП 2015 - 193 с.</w:t>
            </w:r>
          </w:p>
          <w:p w:rsidR="00000000" w:rsidDel="00000000" w:rsidP="00000000" w:rsidRDefault="00000000" w:rsidRPr="00000000" w14:paraId="000000E5">
            <w:pPr>
              <w:widowControl w:val="0"/>
              <w:numPr>
                <w:ilvl w:val="0"/>
                <w:numId w:val="1"/>
              </w:numPr>
              <w:spacing w:before="3" w:line="256" w:lineRule="auto"/>
              <w:ind w:left="333" w:right="101" w:hanging="219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Основы антикоррупционной культуры: учебное пособие / общей редакцией руководил д. б.н., профессор Б. С. Абдрасилов. – Астана: Академия государственного управления при Президенте Республики Казахстан, 2016. - 176 с.</w:t>
            </w:r>
          </w:p>
          <w:p w:rsidR="00000000" w:rsidDel="00000000" w:rsidP="00000000" w:rsidRDefault="00000000" w:rsidRPr="00000000" w14:paraId="000000E6">
            <w:pPr>
              <w:widowControl w:val="0"/>
              <w:numPr>
                <w:ilvl w:val="0"/>
                <w:numId w:val="2"/>
              </w:numPr>
              <w:ind w:left="337" w:right="102" w:hanging="227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Противостояние коррупции: новые вызовы: С. Б. Иванов, Т. Я. Хабриева, Ю. А.Чиханчин [и др.]; отв. ред. Т. Е. Хабриева. – М.: Институт законодательства и сравнительного права При Правительстве Российской Федерации: ИНФРА-М, 2016. - 384 с.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3"/>
              </w:numPr>
              <w:ind w:left="446" w:hanging="33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Пименов Н. А.Обеспечение противодействия коррупции. – М., 2018. - 238 с.</w:t>
            </w:r>
          </w:p>
          <w:p w:rsidR="00000000" w:rsidDel="00000000" w:rsidP="00000000" w:rsidRDefault="00000000" w:rsidRPr="00000000" w14:paraId="000000E8">
            <w:pPr>
              <w:widowControl w:val="0"/>
              <w:numPr>
                <w:ilvl w:val="0"/>
                <w:numId w:val="4"/>
              </w:numPr>
              <w:ind w:left="336" w:right="1547" w:hanging="226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Годунов И. В. Противодействие коррупции. - Учебник. – М., 2019. - 730 с. Интернет ресурсы:</w:t>
            </w:r>
          </w:p>
          <w:p w:rsidR="00000000" w:rsidDel="00000000" w:rsidP="00000000" w:rsidRDefault="00000000" w:rsidRPr="00000000" w14:paraId="000000E9">
            <w:pPr>
              <w:widowControl w:val="0"/>
              <w:numPr>
                <w:ilvl w:val="0"/>
                <w:numId w:val="4"/>
              </w:numPr>
              <w:ind w:left="336" w:right="1547" w:hanging="226"/>
              <w:rPr>
                <w:sz w:val="22"/>
                <w:szCs w:val="22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sz w:val="22"/>
                  <w:szCs w:val="22"/>
                  <w:u w:val="single"/>
                  <w:rtl w:val="0"/>
                </w:rPr>
                <w:t xml:space="preserve">http://elibrary.kaznu.kz/ru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numPr>
                <w:ilvl w:val="0"/>
                <w:numId w:val="4"/>
              </w:numPr>
              <w:ind w:left="336" w:right="1547" w:hanging="226"/>
              <w:rPr>
                <w:sz w:val="22"/>
                <w:szCs w:val="22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2"/>
                  <w:szCs w:val="22"/>
                  <w:u w:val="single"/>
                  <w:rtl w:val="0"/>
                </w:rPr>
                <w:t xml:space="preserve">https://www.gov.kz/memleket/entities/anticorruption?lang=kk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numPr>
                <w:ilvl w:val="0"/>
                <w:numId w:val="4"/>
              </w:numPr>
              <w:ind w:left="336" w:right="1547" w:hanging="226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https://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sz w:val="22"/>
                  <w:szCs w:val="22"/>
                  <w:rtl w:val="0"/>
                </w:rPr>
                <w:t xml:space="preserve">www.transparency.org/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2">
      <w:pPr>
        <w:widowControl w:val="0"/>
        <w:spacing w:line="276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19.0" w:type="dxa"/>
        <w:jc w:val="left"/>
        <w:tblInd w:w="-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180"/>
        <w:gridCol w:w="851"/>
        <w:gridCol w:w="283"/>
        <w:gridCol w:w="1134"/>
        <w:gridCol w:w="1843"/>
        <w:gridCol w:w="3260"/>
        <w:gridCol w:w="2268"/>
        <w:tblGridChange w:id="0">
          <w:tblGrid>
            <w:gridCol w:w="1180"/>
            <w:gridCol w:w="851"/>
            <w:gridCol w:w="283"/>
            <w:gridCol w:w="1134"/>
            <w:gridCol w:w="1843"/>
            <w:gridCol w:w="3260"/>
            <w:gridCol w:w="2268"/>
          </w:tblGrid>
        </w:tblGridChange>
      </w:tblGrid>
      <w:tr>
        <w:trPr>
          <w:cantSplit w:val="0"/>
          <w:trHeight w:val="800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Академическая политика дисциплины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F5">
            <w:pPr>
              <w:shd w:fill="ffffff" w:val="clear"/>
              <w:jc w:val="both"/>
              <w:rPr>
                <w:color w:val="0560a6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Академическая политика дисциплины определяется  </w:t>
            </w:r>
            <w:hyperlink r:id="rId12">
              <w:r w:rsidDel="00000000" w:rsidR="00000000" w:rsidRPr="00000000">
                <w:rPr>
                  <w:color w:val="0560a6"/>
                  <w:sz w:val="22"/>
                  <w:szCs w:val="22"/>
                  <w:rtl w:val="0"/>
                </w:rPr>
                <w:t xml:space="preserve">Академической политикой и Политикой академической честности КазНУ имени аль-Фараби.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Документы доступны на главной странице ИС Univer.</w:t>
            </w:r>
          </w:p>
          <w:p w:rsidR="00000000" w:rsidDel="00000000" w:rsidP="00000000" w:rsidRDefault="00000000" w:rsidRPr="00000000" w14:paraId="000000F7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Интеграция науки и образования.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 - исследовательских и информационных технологий.Преподаватель исследовательского университета интегрирует результаты научной деятельности в тематику лекций и семинарских(практических) занятий, лабораторных занятий и в задания СРОП, СРО, которые отражаются в силлабусе и отвечают за актуальность тематик учебных занятий и заданий.</w:t>
            </w:r>
          </w:p>
          <w:p w:rsidR="00000000" w:rsidDel="00000000" w:rsidP="00000000" w:rsidRDefault="00000000" w:rsidRPr="00000000" w14:paraId="000000F8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Посещаемость.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Дедлайн каждого задания указан в календаре (графике) реализации содержания дисциплины.Несоблюдение дедлайнов приводит к потере баллов.</w:t>
            </w:r>
          </w:p>
          <w:p w:rsidR="00000000" w:rsidDel="00000000" w:rsidP="00000000" w:rsidRDefault="00000000" w:rsidRPr="00000000" w14:paraId="000000F9">
            <w:pPr>
              <w:shd w:fill="ffffff" w:val="clear"/>
              <w:jc w:val="both"/>
              <w:rPr>
                <w:color w:val="0560a6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Академическая честность.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 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>
              <w:r w:rsidDel="00000000" w:rsidR="00000000" w:rsidRPr="00000000">
                <w:rPr>
                  <w:color w:val="0560a6"/>
                  <w:sz w:val="22"/>
                  <w:szCs w:val="22"/>
                  <w:rtl w:val="0"/>
                </w:rPr>
                <w:t xml:space="preserve">«Правила проведения итогового контроля», «Инструкции для проведения итогового контроля осеннего/весеннего семестра текущего учебного года», «Положение о проверке текстовых документов обучающихся на наличие заимствований».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Документы доступны на главной странице ИС Univer.</w:t>
            </w:r>
          </w:p>
          <w:p w:rsidR="00000000" w:rsidDel="00000000" w:rsidP="00000000" w:rsidRDefault="00000000" w:rsidRPr="00000000" w14:paraId="000000FB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Основные принципы инклюзивного образования.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 / этнической принадлежности, религиозных убеждений, социальноэкономического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могут.Разнообразие усиливает все стороны жизни. Все обучающиеся, особенно с ограниченными возможностями, могут получать консультативную помощь по телефону/ е - mail: daniyar.abdrahmanov@gmail.com</w:t>
            </w:r>
          </w:p>
          <w:p w:rsidR="00000000" w:rsidDel="00000000" w:rsidP="00000000" w:rsidRDefault="00000000" w:rsidRPr="00000000" w14:paraId="000000FC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либо посредством видеосвязи на платформе ZOOM (ссылка для подключения: </w:t>
            </w:r>
            <w:hyperlink r:id="rId14">
              <w:r w:rsidDel="00000000" w:rsidR="00000000" w:rsidRPr="00000000">
                <w:rPr>
                  <w:color w:val="0560a6"/>
                  <w:sz w:val="22"/>
                  <w:szCs w:val="22"/>
                  <w:rtl w:val="0"/>
                </w:rPr>
                <w:t xml:space="preserve">https://us05web.zoom.us/j/86103557301?pwd=1ZXtaseQFgaqjpW0JvDxmq1RkphFyz.1</w:t>
              </w:r>
            </w:hyperlink>
            <w:r w:rsidDel="00000000" w:rsidR="00000000" w:rsidRPr="00000000">
              <w:rPr>
                <w:sz w:val="22"/>
                <w:szCs w:val="22"/>
                <w:rtl w:val="0"/>
              </w:rPr>
              <w:t xml:space="preserve"> )</w:t>
            </w:r>
          </w:p>
          <w:p w:rsidR="00000000" w:rsidDel="00000000" w:rsidP="00000000" w:rsidRDefault="00000000" w:rsidRPr="00000000" w14:paraId="000000FD">
            <w:pPr>
              <w:shd w:fill="ffffff" w:val="clear"/>
              <w:spacing w:line="276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Основные принципы инклюзивного образования.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000000" w:rsidDel="00000000" w:rsidP="00000000" w:rsidRDefault="00000000" w:rsidRPr="00000000" w14:paraId="000000FE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Интеграция МООC (massive open online course).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В случае интеграции МООC в дисциплину, всем обучающимся необходимо зарегистрироваться на МООC.Сроки прохождения модулей МООC должны неукоснительно соблюдаться в соответствии с графиком изучения дисциплины.  </w:t>
            </w:r>
          </w:p>
          <w:p w:rsidR="00000000" w:rsidDel="00000000" w:rsidP="00000000" w:rsidRDefault="00000000" w:rsidRPr="00000000" w14:paraId="000000FF">
            <w:pPr>
              <w:shd w:fill="ffffff" w:val="clear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ВНИМАНИЕ!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Дедлайн каждого задания указан в календаре (графике) реализации содержания дисциплины, а также в МООC. Несоблюдение дедлайнов приводит к потере баллов.</w:t>
            </w:r>
          </w:p>
        </w:tc>
      </w:tr>
      <w:tr>
        <w:trPr>
          <w:cantSplit w:val="0"/>
          <w:trHeight w:val="242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ИНФОРМАЦИЯ О ПРЕПОДАВАНИИ, ОБУЧЕНИИ И ОЦЕНИВАНИИ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0B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Балльно-рейтинговая </w:t>
            </w:r>
          </w:p>
          <w:p w:rsidR="00000000" w:rsidDel="00000000" w:rsidP="00000000" w:rsidRDefault="00000000" w:rsidRPr="00000000" w14:paraId="0000010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буквенная система оценки учета учебных достижений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Методы оценивания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Оценка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4">
            <w:pPr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Цифровой </w:t>
            </w:r>
          </w:p>
          <w:p w:rsidR="00000000" w:rsidDel="00000000" w:rsidP="00000000" w:rsidRDefault="00000000" w:rsidRPr="00000000" w14:paraId="0000011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эквивалент</w:t>
            </w:r>
          </w:p>
          <w:p w:rsidR="00000000" w:rsidDel="00000000" w:rsidP="00000000" w:rsidRDefault="00000000" w:rsidRPr="00000000" w14:paraId="000001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Баллы, </w:t>
            </w:r>
          </w:p>
          <w:p w:rsidR="00000000" w:rsidDel="00000000" w:rsidP="00000000" w:rsidRDefault="00000000" w:rsidRPr="00000000" w14:paraId="000001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% содержание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Оценка по традиционной системе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Критериальное оценивание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–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Формативное оценивание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Суммативное оценивание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–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вид оценивания, который проводится по завершению изучения раздела в соответствии с программой дисциплины.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Проводится 3-4 раза за семестр при выполнении СРС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1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95-100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Отлично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A-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3,67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90-94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4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B+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2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3,33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85-89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Хорошо</w:t>
            </w:r>
          </w:p>
        </w:tc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80-84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Формативное и суммативное оценивание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Баллы % содержание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B-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2,67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75-79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Активность на лекциях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2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C+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2,33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70-74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Работа на практических занятиях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9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65-69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Удовлетворительно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E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Самостоятельная работа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4F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0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C-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1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1,67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3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60-64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5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Проектная и творческая деятельность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6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7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D+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1,33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55-59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D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40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1,0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50-54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ИТОГО                                     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100 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FX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0,5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25-49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Неудовлетворительно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16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0-24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3">
            <w:pPr>
              <w:tabs>
                <w:tab w:val="left" w:leader="none" w:pos="1276"/>
              </w:tabs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Календарь (график) реализации содержания дисциплины. Методы преподавания и обучения.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widowControl w:val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36.0" w:type="dxa"/>
        <w:jc w:val="left"/>
        <w:tblInd w:w="-5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1200"/>
        <w:gridCol w:w="8050"/>
        <w:gridCol w:w="861"/>
        <w:gridCol w:w="725"/>
        <w:tblGridChange w:id="0">
          <w:tblGrid>
            <w:gridCol w:w="1200"/>
            <w:gridCol w:w="8050"/>
            <w:gridCol w:w="861"/>
            <w:gridCol w:w="725"/>
          </w:tblGrid>
        </w:tblGridChange>
      </w:tblGrid>
      <w:tr>
        <w:trPr>
          <w:cantSplit w:val="0"/>
          <w:trHeight w:val="57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C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Неделя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D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Название 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E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Кол-во часов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7F">
            <w:pPr>
              <w:tabs>
                <w:tab w:val="left" w:leader="none" w:pos="1276"/>
              </w:tabs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Макс</w:t>
            </w:r>
          </w:p>
          <w:p w:rsidR="00000000" w:rsidDel="00000000" w:rsidP="00000000" w:rsidRDefault="00000000" w:rsidRPr="00000000" w14:paraId="00000180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балл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1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Модуль 1 </w:t>
            </w:r>
            <w:r w:rsidDel="00000000" w:rsidR="00000000" w:rsidRPr="00000000">
              <w:rPr>
                <w:b w:val="1"/>
                <w:sz w:val="22"/>
                <w:szCs w:val="22"/>
                <w:u w:val="none"/>
                <w:rtl w:val="0"/>
              </w:rPr>
              <w:t xml:space="preserve">Антикоррупционная политика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5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6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 1.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Понятие коррупции и ее правовые последствия.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7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A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СЗ1.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Цель противодействия коррупции. Противодействие коррупции, основные принципы действия.</w:t>
            </w:r>
          </w:p>
          <w:p w:rsidR="00000000" w:rsidDel="00000000" w:rsidP="00000000" w:rsidRDefault="00000000" w:rsidRPr="00000000" w14:paraId="0000018B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C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D">
            <w:pPr>
              <w:tabs>
                <w:tab w:val="left" w:leader="none" w:pos="1276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E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8F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 2.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История развития противодействия коррупции.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0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3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СЗ 2.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Борьба с коррупцией  в советское время. Роль Ли Хуан  Ю в борьбе с коррупцией.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4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5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6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7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 3.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Антикоррупционная политика, проводимая в Республике Казахстан.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8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7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B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СЗ 3.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Нормативные правовые акты, регламентирующие вопросы противодействия коррупции.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C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D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9F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СРСП 1.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Консультация по выполнению СРС 1 на тему: «Антикоррупционная политика».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1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2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3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 4.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Субъекты противодействия коррупции.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4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7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СЗ 4.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Деятельность антикоррупционной службы. Взаимодействие государственных органов в борьбе с коррупцией.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8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9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A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B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 5.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Антикоррупционная служба и участие общественности в противодействия коррупции.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C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AF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СЗ 5.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Роль общественного контроля в борьбе с коррупцией. Антикоррупционная культура.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0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1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2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3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СРС 1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Презентация «Антикоррупционная служба».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5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6">
            <w:pPr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7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СРСП 2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Ознакомление с МООС и регистрация в системе дистанционного обучения - open.kaznu.kz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9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A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B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 6.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Виды коррупционных уголовных правонарушений и наказания за их совершение.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C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BF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СЗ 6.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Квалификация коррупционных уголовных правонарушений. Ответственность за совершение коррупционных уголовных правонарушений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0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1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</w:tr>
      <w:tr>
        <w:trPr>
          <w:cantSplit w:val="0"/>
          <w:trHeight w:val="75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3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СРСП 3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«Антикоррупционная служба».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4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5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6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7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 7.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Меры по профилактике коррупции.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8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B">
            <w:pPr>
              <w:tabs>
                <w:tab w:val="left" w:leader="none" w:pos="8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СЗ 7.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Виктимология коррупционных уголовных правонарушений. Антикоррупционная стратегия Республики Казахстан.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C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D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CF">
            <w:pPr>
              <w:tabs>
                <w:tab w:val="left" w:leader="none" w:pos="8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СРС 2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Презентация «Антикоррупционная служба»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0">
            <w:pPr>
              <w:tabs>
                <w:tab w:val="left" w:leader="none" w:pos="1276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1">
            <w:pPr>
              <w:tabs>
                <w:tab w:val="left" w:leader="none" w:pos="1276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2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3">
            <w:pPr>
              <w:tabs>
                <w:tab w:val="left" w:leader="none" w:pos="8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 8.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Сингапурский опыт противодействия коррупции.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4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7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СЗ 8.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Ответственность за коррупционные преступления в Сингапуре. Меры по предупреждению коррупционных преступлений в Сингапуре.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8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9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A">
            <w:pPr>
              <w:widowControl w:val="0"/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Рубежный контроль 1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E">
            <w:pPr>
              <w:tabs>
                <w:tab w:val="left" w:leader="none" w:pos="1276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100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DF">
            <w:pPr>
              <w:widowControl w:val="0"/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Модуль II Международный опыт противодействия коррупции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3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4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 9.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Опыт Грузии по противодействию коррупции.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5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8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СЗ 9.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Ответственность за коррупционные преступления в Грузии. Меры по предупреждению коррупционных преступлений в Грузии.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9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A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C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СРСП 3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Консультация по выполнению СРС 3 Презентация на тему: «Роль ООН в борьбе с коррупцией».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D">
            <w:pPr>
              <w:tabs>
                <w:tab w:val="left" w:leader="none" w:pos="1276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E">
            <w:pPr>
              <w:tabs>
                <w:tab w:val="left" w:leader="none" w:pos="1276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EF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0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 10.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Опыт Китая и Японии по противодействию коррупции.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1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4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СЗ 10.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Ответственность за коррупционные преступления в Китае и Японии. Меры по предупреждению коррупционных преступлений в Китае и Японии.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5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6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8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СРС 3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Презентация «Роль ООН в борьбе с коррупцией».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9">
            <w:pPr>
              <w:tabs>
                <w:tab w:val="left" w:leader="none" w:pos="1276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A">
            <w:pPr>
              <w:tabs>
                <w:tab w:val="left" w:leader="none" w:pos="1276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64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B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C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 11.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Опыт США и Канады по противодействию коррупции.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D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0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СЗ 11.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Ответственность за коррупционные преступления в США и Канады. Меры по предупреждению коррупционных преступлений в США и Канады.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1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2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6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3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4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ЛЗ 12.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Опыт Великобритании по противодействию коррупции.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5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6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8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СЗ 12.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Ответственность за коррупционные преступления в Великобритании. Меры по предупреждению коррупционных преступлений в Великобритании.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9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A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B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C">
            <w:pPr>
              <w:tabs>
                <w:tab w:val="left" w:leader="none" w:pos="912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 13.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Опыт Финляндии в противодействии коррупции.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D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E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0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СЗ 13.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Ответственность за коррупционные преступления в Финляндии. Меры по предупреждению коррупционных преступлений в Финляндии.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1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2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</w:tr>
      <w:tr>
        <w:trPr>
          <w:cantSplit w:val="0"/>
          <w:trHeight w:val="494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3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4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 14.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Опыт Российской Федерации по противодействию коррупции.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5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8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СЗ 14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Ответственность за коррупционные преступления в Российской Федерации. Меры по предупреждению коррупционных преступлений в Финляндии.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9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A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C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СРОП 5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Консультация на тему: презентация «Уголовная ответственность за совершение коррупционных уголовных правонарушений за рубежом».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1F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0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Л 15.</w:t>
            </w:r>
            <w:r w:rsidDel="00000000" w:rsidR="00000000" w:rsidRPr="00000000">
              <w:rPr>
                <w:color w:val="ff0000"/>
                <w:sz w:val="22"/>
                <w:szCs w:val="22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Роль международных антикоррупционных организаций.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1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4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СЗ 15.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Роль международных антикоррупционных организаций.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5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6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8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СРСП 6.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Консультация по правилам сдаче итогового экзамена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A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3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C">
            <w:pP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СРС 4.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Презентация «Уголовная ответственность за совершение коррупционных уголовных правонарушений за рубежом».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E">
            <w:pPr>
              <w:tabs>
                <w:tab w:val="left" w:leader="none" w:pos="1276"/>
              </w:tabs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30</w:t>
            </w:r>
          </w:p>
        </w:tc>
      </w:tr>
      <w:tr>
        <w:trPr>
          <w:cantSplit w:val="0"/>
          <w:trHeight w:val="363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2F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Рубежный контроль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2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3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Итоговый контроль (экзамен)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6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7">
            <w:pPr>
              <w:tabs>
                <w:tab w:val="left" w:leader="none" w:pos="1276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ИТОГО за дисциплину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3A">
            <w:pPr>
              <w:tabs>
                <w:tab w:val="left" w:leader="none" w:pos="1276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B">
      <w:pPr>
        <w:tabs>
          <w:tab w:val="left" w:leader="none" w:pos="1276"/>
        </w:tabs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after="120" w:lineRule="auto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Декан                                                                                                                               Ахатов У.А.   </w:t>
      </w:r>
    </w:p>
    <w:p w:rsidR="00000000" w:rsidDel="00000000" w:rsidP="00000000" w:rsidRDefault="00000000" w:rsidRPr="00000000" w14:paraId="0000023D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Председатель академического комитета  </w:t>
      </w:r>
    </w:p>
    <w:p w:rsidR="00000000" w:rsidDel="00000000" w:rsidP="00000000" w:rsidRDefault="00000000" w:rsidRPr="00000000" w14:paraId="0000023E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по качеству преподавания и обучения                                                                     Урисбаева А.А</w:t>
      </w:r>
    </w:p>
    <w:p w:rsidR="00000000" w:rsidDel="00000000" w:rsidP="00000000" w:rsidRDefault="00000000" w:rsidRPr="00000000" w14:paraId="0000023F">
      <w:pPr>
        <w:jc w:val="both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Заведующий кафедрой                                                                                                Джансараева Р.Е.</w:t>
      </w:r>
    </w:p>
    <w:p w:rsidR="00000000" w:rsidDel="00000000" w:rsidP="00000000" w:rsidRDefault="00000000" w:rsidRPr="00000000" w14:paraId="00000241">
      <w:pPr>
        <w:spacing w:after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Лектор                                                                                                                            Абдрахманов Д.С.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yl766zlc8ja5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РУБРИКАТОР СУММАТИВНОГО ОЦЕНИВАНИЯ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КРИТЕРИИ ОЦЕНИВАНИЯ РЕЗУЛЬТАТОВ ОБУЧЕНИЯ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Презентация «Антикоррупционная политика» (30% от 100% РК)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199.0" w:type="dxa"/>
        <w:jc w:val="left"/>
        <w:tblInd w:w="-29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153"/>
        <w:gridCol w:w="1873"/>
        <w:gridCol w:w="1787"/>
        <w:gridCol w:w="1986"/>
        <w:gridCol w:w="3400"/>
        <w:tblGridChange w:id="0">
          <w:tblGrid>
            <w:gridCol w:w="2153"/>
            <w:gridCol w:w="1873"/>
            <w:gridCol w:w="1787"/>
            <w:gridCol w:w="1986"/>
            <w:gridCol w:w="3400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Критерий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«Отлично»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25-30%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«Хорошо»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20-2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«Удовлетворительно»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15-20%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«Неудовлетворительно»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– 15% </w:t>
            </w:r>
          </w:p>
        </w:tc>
      </w:tr>
      <w:tr>
        <w:trPr>
          <w:cantSplit w:val="0"/>
          <w:trHeight w:val="37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Понимание теорий и концепций антикоррупционной политики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Демонстрируется глубокое понимание теорий и концепций антикоррупционной политики, представлена способность анализировать их применение на практике с конкретными примерами. 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Хорошее понимание теорий и концепций антикоррупционной политики, есть примеры, но анализ может быть менее подробным.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Ограниченное понимание теорий и концепций, упрощённое изложение с недостатком анализа.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Поверхностное или полное отсутствие понимания теорий и концепций, наличие ошибок в интерпретации.</w:t>
            </w:r>
          </w:p>
        </w:tc>
      </w:tr>
      <w:tr>
        <w:trPr>
          <w:cantSplit w:val="0"/>
          <w:trHeight w:val="44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Предложение антикоррупционной политики или практических рекомендаций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Предложены конкретные, хорошо обоснованные рекомендации или политика, которые основаны на анализе, направлены на устранение коррупционных рисков и реалистичны для внедрения. 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Рекомендации и политика соответствуют теме, имеют обоснование, но анализ и детализация могут быть недостаточны.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Представлены ограниченные или поверхностные рекомендации без глубокого анализа и практической ценности.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Рекомендации отсутствуют или их качество крайне низкое, без логической связи с темой.</w:t>
            </w:r>
          </w:p>
        </w:tc>
      </w:tr>
      <w:tr>
        <w:trPr>
          <w:cantSplit w:val="0"/>
          <w:trHeight w:val="44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5E">
            <w:pPr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Качество презентации и навыки коммуникации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0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Логичная структура, чёткое визуальное оформление (слайды, графики, схемы), уверенная подача, использование наглядных примеров, умение взаимодействовать с аудиторией.</w:t>
            </w:r>
          </w:p>
          <w:p w:rsidR="00000000" w:rsidDel="00000000" w:rsidP="00000000" w:rsidRDefault="00000000" w:rsidRPr="00000000" w14:paraId="00000261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3">
            <w:pPr>
              <w:spacing w:line="276" w:lineRule="auto"/>
              <w:ind w:left="141.7322834645671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Структура в целом ясна, оформление и подача хорошие, но отдельные элементы (визуал, примеры или контакт с аудиторией) раскрыты не полностью.</w:t>
            </w:r>
          </w:p>
          <w:p w:rsidR="00000000" w:rsidDel="00000000" w:rsidP="00000000" w:rsidRDefault="00000000" w:rsidRPr="00000000" w14:paraId="0000026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5">
            <w:pPr>
              <w:spacing w:line="276" w:lineRule="auto"/>
              <w:ind w:left="141.7322834645671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Структура и оформление простые, подача менее уверенная, ограниченное взаимодействие с аудиторией.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67">
            <w:pPr>
              <w:spacing w:line="276" w:lineRule="auto"/>
              <w:ind w:left="141.7322834645671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Презентация хаотична, слабое оформление, монотонная или неуверенная подача, нет контакта с аудиторией.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71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РУБРИКАТОР СУММАТИВНОГО ОЦЕНИВАНИЯ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КРИТЕРИИ ОЦЕНИВАНИЯ РЕЗУЛЬТАТОВ ОБУЧЕНИЯ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Презентация «Антикоррупционная служба» (30% от 100% РК)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99.0" w:type="dxa"/>
        <w:jc w:val="left"/>
        <w:tblInd w:w="-29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153"/>
        <w:gridCol w:w="1873"/>
        <w:gridCol w:w="1787"/>
        <w:gridCol w:w="1986"/>
        <w:gridCol w:w="3400"/>
        <w:tblGridChange w:id="0">
          <w:tblGrid>
            <w:gridCol w:w="2153"/>
            <w:gridCol w:w="1873"/>
            <w:gridCol w:w="1787"/>
            <w:gridCol w:w="1986"/>
            <w:gridCol w:w="3400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Критерий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«Отлично»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25-30%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«Хорошо»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20-2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«Удовлетворительно»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15-20%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«Неудовлетворительно»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– 15% </w:t>
            </w:r>
          </w:p>
        </w:tc>
      </w:tr>
      <w:tr>
        <w:trPr>
          <w:cantSplit w:val="0"/>
          <w:trHeight w:val="37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Содержание и глубина раскрытия темы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Полное и глубокое раскрытие темы. Описаны функции, задачи, структура и роль антикоррупционной службы. Приведены конкретные примеры (реальные кейсы, статистика). Использованы нормативно-правовые акты и аналитические данные. Предложены рекомендации или анализ актуальных вызовов.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Тема раскрыта достаточно подробно, описаны основные аспекты работы службы. Примеры приведены, но их недостаточно для глубокого анализа. Текст преимущественно обобщённый.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Информация поверхностная. Описаны только базовые функции и задачи без анализа или примеров. Презентация повторяет общеизвестные данные.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Презентация содержит несущественные или недостоверные данные. Тема практически не раскрыта.</w:t>
            </w:r>
          </w:p>
        </w:tc>
      </w:tr>
      <w:tr>
        <w:trPr>
          <w:cantSplit w:val="0"/>
          <w:trHeight w:val="44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Ясность и логика изложения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структурирован, с чётким делением на вступление, основную часть и выводы. Логика изложения последовательна, идеи легко воспринимаются. Используется профессиональная лексика.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Текст структурирован, но в логике изложения есть незначительные пробелы. В отдельных местах материал сложно воспринимать.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слабо структурирован, информация подана хаотично. Используется общий язык, встречаются повторы и лишние детали.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Отсутствие структуры, логика изложения нарушена. Текст труден для понимания.</w:t>
            </w:r>
          </w:p>
        </w:tc>
      </w:tr>
      <w:tr>
        <w:trPr>
          <w:cantSplit w:val="0"/>
          <w:trHeight w:val="44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3">
            <w:pPr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Использование источников и оформление презентации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5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применены актуальные и достоверные источники (законодательство, исследования, статистика), корректные ссылки; презентация оформлена профессионально (визуальные материалы, структурированные слайды).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6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источники в целом качественные, но не всегда разнообразные или оформлены не полностью корректно; оформление презентации ясное, но есть отдельные недочёты.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7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ограниченное использование источников, поверхностные ссылки, слабое оформление слайдов.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89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источники отсутствуют или недостоверные, презентация оформлена формально, без визуальной поддержки.</w:t>
            </w:r>
          </w:p>
        </w:tc>
      </w:tr>
    </w:tbl>
    <w:p w:rsidR="00000000" w:rsidDel="00000000" w:rsidP="00000000" w:rsidRDefault="00000000" w:rsidRPr="00000000" w14:paraId="0000028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РУБРИКАТОР СУММАТИВНОГО ОЦЕНИВАНИЯ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КРИТЕРИИ ОЦЕНИВАНИЯ РЕЗУЛЬТАТОВ ОБУЧЕНИЯ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Презентация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«Роль ООН в борьбе с коррупцией»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 (30% от 100% РК)</w:t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199.0" w:type="dxa"/>
        <w:jc w:val="left"/>
        <w:tblInd w:w="-29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153"/>
        <w:gridCol w:w="1873"/>
        <w:gridCol w:w="1787"/>
        <w:gridCol w:w="1986"/>
        <w:gridCol w:w="3400"/>
        <w:tblGridChange w:id="0">
          <w:tblGrid>
            <w:gridCol w:w="2153"/>
            <w:gridCol w:w="1873"/>
            <w:gridCol w:w="1787"/>
            <w:gridCol w:w="1986"/>
            <w:gridCol w:w="3400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Критерий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«Отлично»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25-30%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«Хорошо»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20-2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«Удовлетворительно»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15-20%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«Неудовлетворительно»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– 15% </w:t>
            </w:r>
          </w:p>
        </w:tc>
      </w:tr>
      <w:tr>
        <w:trPr>
          <w:cantSplit w:val="0"/>
          <w:trHeight w:val="37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Содержание и глубина раскрытия 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Полное и всестороннее раскрытие роли ООН в борьбе с коррупцией. Описаны ключевые инициативы, программы, и документы, например, Конвенция ООН против коррупции (UNCAC). Рассмотрены механизмы реализации, примеры международного сотрудничества и практические результаты. Презентация содержит аналитический подход и предложения по улучшению.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Тема раскрыта подробно, описаны основные инициативы ООН и её роль. Примеры приведены, но их недостаточно для глубокого анализа. Текст преимущественно обобщённый.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Информация поверхностная. Упомянуты лишь базовые аспекты работы ООН без анализа или примеров. Отсутствует привязка к реальным механизмам и достижениям.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Презентация содержит несущественные или недостоверные данные. Роль ООН практически не раскрыта.</w:t>
            </w:r>
          </w:p>
        </w:tc>
      </w:tr>
      <w:tr>
        <w:trPr>
          <w:cantSplit w:val="0"/>
          <w:trHeight w:val="44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Ясность и логика изложения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структурирован, с чётким делением на вступление, основную часть и выводы. Логика изложения последовательна, идеи легко воспринимаются. Используется профессиональная терминология и международная лексика.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Текст структурирован, но в логике изложения есть незначительные пробелы. В отдельных местах материал сложно воспринимать.</w:t>
            </w:r>
          </w:p>
          <w:p w:rsidR="00000000" w:rsidDel="00000000" w:rsidP="00000000" w:rsidRDefault="00000000" w:rsidRPr="00000000" w14:paraId="000002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слабо структурирован, информация подана хаотично. Используется общий язык, встречаются повторы и лишние детали.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Отсутствие структуры, логика изложения нарушена. Текст труден для понимания.</w:t>
            </w:r>
          </w:p>
        </w:tc>
      </w:tr>
      <w:tr>
        <w:trPr>
          <w:cantSplit w:val="0"/>
          <w:trHeight w:val="44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4">
            <w:pPr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Использование международных документов и примеров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6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активно использованы ключевые документы (Конвенция ООН против коррупции 2003 г., резолюции Генассамблеи, примеры стран-участников), показано понимание глобальной роли ООН и её механизмов.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7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документы упомянуты, но без глубокого анализа; примеры есть, но ограниченные.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8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использованы лишь общие сведения об ООН, мало конкретики или нет примеров.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A9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отсутствуют ссылки на реальные документы и практику, информация поверхностная.</w:t>
            </w:r>
          </w:p>
        </w:tc>
      </w:tr>
    </w:tbl>
    <w:p w:rsidR="00000000" w:rsidDel="00000000" w:rsidP="00000000" w:rsidRDefault="00000000" w:rsidRPr="00000000" w14:paraId="000002A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РУБРИКАТОР СУММАТИВНОГО ОЦЕНИВАНИЯ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КРИТЕРИИ ОЦЕНИВАНИЯ РЕЗУЛЬТАТОВ ОБУЧЕНИЯ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Презентация «Уголовная ответственность за совершение коррупционных уголовных правонарушений за рубежом» (30% от 100% РК)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199.0" w:type="dxa"/>
        <w:jc w:val="left"/>
        <w:tblInd w:w="-29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2153"/>
        <w:gridCol w:w="1873"/>
        <w:gridCol w:w="1787"/>
        <w:gridCol w:w="1986"/>
        <w:gridCol w:w="3400"/>
        <w:tblGridChange w:id="0">
          <w:tblGrid>
            <w:gridCol w:w="2153"/>
            <w:gridCol w:w="1873"/>
            <w:gridCol w:w="1787"/>
            <w:gridCol w:w="1986"/>
            <w:gridCol w:w="3400"/>
          </w:tblGrid>
        </w:tblGridChange>
      </w:tblGrid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Критерий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«Отлично»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25-30%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«Хорошо»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20-2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%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«Удовлетворительно»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15-20%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be5f1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«Неудовлетворительно»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  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– 15% </w:t>
            </w:r>
          </w:p>
        </w:tc>
      </w:tr>
      <w:tr>
        <w:trPr>
          <w:cantSplit w:val="0"/>
          <w:trHeight w:val="379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Содержание и глубина раскрытия темы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Полное раскрытие темы с акцентом на международные подходы к уголовной ответственности за коррупционные преступления. Приведены примеры законодательства разных стран (например, США — FCPA, Великобритания — UK Bribery Act, Германия и другие). Освещены особенности применения норм, механизмы наказания и их эффективность. Добавлены сравнения, аналитика и предложения по адаптации лучших практик.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Тема раскрыта достаточно подробно, описаны ключевые аспекты законодательства нескольких стран. Примеры приведены, но анализ ограничен. Текст преимущественно обобщённый.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Информация поверхностная. Упомянуты только базовые аспекты уголовной ответственности, без конкретных примеров из законодательства других стран.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Презентация содержит неполные или недостоверные данные. Тема практически не раскрыта.</w:t>
            </w:r>
          </w:p>
        </w:tc>
      </w:tr>
      <w:tr>
        <w:trPr>
          <w:cantSplit w:val="0"/>
          <w:trHeight w:val="44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Ясность и логика изложения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структурирован, с чётким делением на вступление, основную часть и выводы. Логика изложения последовательна, идеи представлены доступно и системно. Используется профессиональная юридическая лексика.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C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Текст структурирован, но в логике изложения есть незначительные пробелы. В отдельных местах материал трудно воспринимать.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Текст недостаточно структурирован, информация подана хаотично. Используются общие термины, без глубокой проработки.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Отсутствие структуры, логика изложения нарушена. Текст труден для понимания и не соответствует заявленной теме.</w:t>
            </w:r>
          </w:p>
        </w:tc>
      </w:tr>
      <w:tr>
        <w:trPr>
          <w:cantSplit w:val="0"/>
          <w:trHeight w:val="4422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C3">
            <w:pPr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Сравнительный анализ зарубежного опыта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C4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представлены разные страны, проведено сравнение подходов к уголовной ответственности, выделены сходства и различия, сделаны выводы о применимости для Казахстана.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C5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рассмотрено несколько зарубежных примеров, есть сравнение, но не всегда глубокое.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C6">
            <w:pPr>
              <w:spacing w:line="276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приведены отдельные факты о зарубежном опыте, но без анализа и сопоставления.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2C7">
            <w:pPr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Зарубежный опыт практически не раскрыт, ограничено общими фразами.</w:t>
            </w:r>
          </w:p>
        </w:tc>
      </w:tr>
    </w:tbl>
    <w:p w:rsidR="00000000" w:rsidDel="00000000" w:rsidP="00000000" w:rsidRDefault="00000000" w:rsidRPr="00000000" w14:paraId="000002C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33" w:hanging="21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53" w:hanging="21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73" w:hanging="21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93" w:hanging="21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213" w:hanging="218.99999999999955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933" w:hanging="218.99999999999955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53" w:hanging="21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73" w:hanging="21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93" w:hanging="219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337" w:hanging="226.9999999999999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57" w:hanging="22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77" w:hanging="22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97" w:hanging="22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217" w:hanging="22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937" w:hanging="22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57" w:hanging="22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77" w:hanging="22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97" w:hanging="22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46" w:hanging="33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57" w:hanging="33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77" w:hanging="33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97" w:hanging="33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217" w:hanging="33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937" w:hanging="33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57" w:hanging="33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77" w:hanging="336.9999999999991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97" w:hanging="337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336" w:hanging="22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56" w:hanging="22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776" w:hanging="22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496" w:hanging="22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216" w:hanging="22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936" w:hanging="22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56" w:hanging="22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376" w:hanging="22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096" w:hanging="226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 w:customStyle="1">
    <w:name w:val="Колонтитулы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a5" w:customStyle="1">
    <w:name w:val="По умолчанию"/>
    <w:pPr>
      <w:spacing w:before="160" w:line="288" w:lineRule="auto"/>
    </w:pPr>
    <w:rPr>
      <w:rFonts w:ascii="Helvetica Neue" w:cs="Arial Unicode MS" w:hAnsi="Helvetica Neue"/>
      <w:color w:val="000000"/>
      <w:sz w:val="24"/>
      <w:szCs w:val="24"/>
      <w:lang w:val="ru-RU"/>
      <w14:textOutline w14:cap="flat" w14:cmpd="sng" w14:algn="ctr">
        <w14:noFill/>
        <w14:prstDash w14:val="solid"/>
        <w14:bevel/>
      </w14:textOutline>
    </w:rPr>
  </w:style>
  <w:style w:type="character" w:styleId="a6" w:customStyle="1">
    <w:name w:val="Нет"/>
  </w:style>
  <w:style w:type="character" w:styleId="Hyperlink0" w:customStyle="1">
    <w:name w:val="Hyperlink.0"/>
    <w:basedOn w:val="a6"/>
    <w:rPr>
      <w:rFonts w:ascii="Times New Roman" w:cs="Times New Roman" w:eastAsia="Times New Roman" w:hAnsi="Times New Roman"/>
      <w:outline w:val="0"/>
      <w:color w:val="0000ff"/>
      <w:sz w:val="20"/>
      <w:szCs w:val="20"/>
      <w:u w:color="0000ff" w:val="single"/>
      <w:lang w:val="ru-RU"/>
    </w:rPr>
  </w:style>
  <w:style w:type="character" w:styleId="Hyperlink1" w:customStyle="1">
    <w:name w:val="Hyperlink.1"/>
    <w:basedOn w:val="a6"/>
    <w:rPr>
      <w:rFonts w:ascii="Times New Roman" w:cs="Times New Roman" w:eastAsia="Times New Roman" w:hAnsi="Times New Roman"/>
      <w:sz w:val="22"/>
      <w:szCs w:val="22"/>
      <w:lang w:val="ru-RU"/>
    </w:rPr>
  </w:style>
  <w:style w:type="character" w:styleId="Hyperlink2" w:customStyle="1">
    <w:name w:val="Hyperlink.2"/>
    <w:basedOn w:val="a6"/>
    <w:rPr>
      <w:rFonts w:ascii="Times New Roman" w:cs="Times New Roman" w:eastAsia="Times New Roman" w:hAnsi="Times New Roman"/>
      <w:u w:val="single"/>
      <w:lang w:val="ru-RU"/>
    </w:rPr>
  </w:style>
  <w:style w:type="character" w:styleId="Hyperlink3" w:customStyle="1">
    <w:name w:val="Hyperlink.3"/>
    <w:basedOn w:val="a6"/>
    <w:rPr>
      <w:rFonts w:ascii="Times New Roman" w:cs="Times New Roman" w:eastAsia="Times New Roman" w:hAnsi="Times New Roman"/>
      <w:outline w:val="0"/>
      <w:color w:val="0000ff"/>
      <w:u w:color="0000ff" w:val="single"/>
      <w:lang w:val="ru-RU"/>
    </w:rPr>
  </w:style>
  <w:style w:type="character" w:styleId="Hyperlink4" w:customStyle="1">
    <w:name w:val="Hyperlink.4"/>
    <w:basedOn w:val="a6"/>
    <w:rPr>
      <w:rFonts w:ascii="Times New Roman" w:cs="Times New Roman" w:eastAsia="Times New Roman" w:hAnsi="Times New Roman"/>
      <w:lang w:val="ru-RU"/>
    </w:rPr>
  </w:style>
  <w:style w:type="paragraph" w:styleId="paragraph" w:customStyle="1">
    <w:name w:val="paragraph"/>
    <w:pPr>
      <w:spacing w:after="100" w:before="100"/>
    </w:pPr>
    <w:rPr>
      <w:rFonts w:cs="Arial Unicode MS"/>
      <w:color w:val="000000"/>
      <w:sz w:val="24"/>
      <w:szCs w:val="24"/>
      <w:u w:color="000000"/>
      <w:lang w:val="ru-RU"/>
    </w:rPr>
  </w:style>
  <w:style w:type="character" w:styleId="a7">
    <w:name w:val="Unresolved Mention"/>
    <w:basedOn w:val="a0"/>
    <w:uiPriority w:val="99"/>
    <w:semiHidden w:val="1"/>
    <w:unhideWhenUsed w:val="1"/>
    <w:rsid w:val="00FF28B4"/>
    <w:rPr>
      <w:color w:val="605e5c"/>
      <w:shd w:color="auto" w:fill="e1dfdd" w:val="clear"/>
    </w:rPr>
  </w:style>
  <w:style w:type="paragraph" w:styleId="a8">
    <w:name w:val="header"/>
    <w:basedOn w:val="a"/>
    <w:link w:val="a9"/>
    <w:uiPriority w:val="99"/>
    <w:unhideWhenUsed w:val="1"/>
    <w:rsid w:val="000C2835"/>
    <w:pPr>
      <w:tabs>
        <w:tab w:val="center" w:pos="4677"/>
        <w:tab w:val="right" w:pos="9355"/>
      </w:tabs>
    </w:pPr>
  </w:style>
  <w:style w:type="character" w:styleId="a9" w:customStyle="1">
    <w:name w:val="Верхний колонтитул Знак"/>
    <w:basedOn w:val="a0"/>
    <w:link w:val="a8"/>
    <w:uiPriority w:val="99"/>
    <w:rsid w:val="000C2835"/>
    <w:rPr>
      <w:rFonts w:cs="Arial Unicode MS"/>
      <w:color w:val="000000"/>
      <w:sz w:val="24"/>
      <w:szCs w:val="24"/>
      <w:u w:color="000000"/>
      <w:lang w:val="ru-RU"/>
      <w14:textOutline w14:cap="flat" w14:cmpd="sng" w14:w="12700" w14:algn="ctr">
        <w14:noFill/>
        <w14:prstDash w14:val="solid"/>
        <w14:miter w14:lim="400000"/>
      </w14:textOutline>
    </w:rPr>
  </w:style>
  <w:style w:type="paragraph" w:styleId="aa">
    <w:name w:val="footer"/>
    <w:basedOn w:val="a"/>
    <w:link w:val="ab"/>
    <w:uiPriority w:val="99"/>
    <w:unhideWhenUsed w:val="1"/>
    <w:rsid w:val="000C2835"/>
    <w:pPr>
      <w:tabs>
        <w:tab w:val="center" w:pos="4677"/>
        <w:tab w:val="right" w:pos="9355"/>
      </w:tabs>
    </w:pPr>
  </w:style>
  <w:style w:type="character" w:styleId="ab" w:customStyle="1">
    <w:name w:val="Нижний колонтитул Знак"/>
    <w:basedOn w:val="a0"/>
    <w:link w:val="aa"/>
    <w:uiPriority w:val="99"/>
    <w:rsid w:val="000C2835"/>
    <w:rPr>
      <w:rFonts w:cs="Arial Unicode MS"/>
      <w:color w:val="000000"/>
      <w:sz w:val="24"/>
      <w:szCs w:val="24"/>
      <w:u w:color="000000"/>
      <w:lang w:val="ru-RU"/>
      <w14:textOutline w14:cap="flat" w14:cmpd="sng" w14:w="12700" w14:algn="ctr">
        <w14:noFill/>
        <w14:prstDash w14:val="solid"/>
        <w14:miter w14:lim="400000"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transparency.org/" TargetMode="External"/><Relationship Id="rId10" Type="http://schemas.openxmlformats.org/officeDocument/2006/relationships/hyperlink" Target="https://www.gov.kz/memleket/entities/anticorruption?lang=kk" TargetMode="Externa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2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elibrary.kaznu.kz/ru" TargetMode="External"/><Relationship Id="rId14" Type="http://schemas.openxmlformats.org/officeDocument/2006/relationships/hyperlink" Target="https://us05web.zoom.us/j/86103557301?pwd=1ZXtaseQFgaqjpW0JvDxmq1RkphFyz.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aniyar.abdrahmanov@gmail.com" TargetMode="External"/><Relationship Id="rId8" Type="http://schemas.openxmlformats.org/officeDocument/2006/relationships/hyperlink" Target="mailto:daniyar.abdrahmanov@gmail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mb/H8G7eEowOsD84Py1dL7M4nQ==">CgMxLjAyDmgueWw3NjZ6bGM4amE1OAByITFFMlpPUVJIa1l2RExJLUV2Ym5tZmRHZGxidXpSQXJTZw==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2024-09-19T04:42:00Z</dcterms:created>
</cp:coreProperties>
</file>